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14/11/2026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13. VẬN CHUYỂN ĐỒ VẬT (Tiết: 15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bánh xe và trục quay.</w:t>
      </w:r>
    </w:p>
    <w:p>
      <w:pPr>
        <w:spacing w:line="276" w:lineRule="auto" w:after="60" w:before="0"/>
        <w:ind w:firstLine="709"/>
        <w:jc w:val="both"/>
      </w:pPr>
      <w:r>
        <w:rPr>
          <w:rFonts w:ascii="Times New Roman" w:hAnsi="Times New Roman" w:cs="Times New Roman" w:eastAsia="Times New Roman"/>
          <w:b w:val="0"/>
          <w:i w:val="0"/>
          <w:sz w:val="26"/>
        </w:rPr>
        <w:t>+ Lắp mô hình xe kéo hàng giảm ma sát.</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Vận chuyển đồ vật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Vận chuyển đồ vật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13. Vận chuyển đồ vật.</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13. Vận chuyển đồ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13. Vận chuyển đồ vật.</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13. Vận chuyển đồ vật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Vận chuyển đồ vật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