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17. NHẮM VÀ BẮN! (Tiết: 21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bắn đạn cơ học.</w:t>
      </w:r>
    </w:p>
    <w:p>
      <w:pPr>
        <w:spacing w:line="276" w:lineRule="auto" w:after="60" w:before="0"/>
        <w:ind w:firstLine="709"/>
        <w:jc w:val="both"/>
      </w:pPr>
      <w:r>
        <w:rPr>
          <w:rFonts w:ascii="Times New Roman" w:hAnsi="Times New Roman" w:cs="Times New Roman" w:eastAsia="Times New Roman"/>
          <w:b w:val="0"/>
          <w:i w:val="0"/>
          <w:sz w:val="26"/>
        </w:rPr>
        <w:t>+ Lắp mô hình máy bắn mục tiêu chuẩn xác.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17. Nhắm và bắn!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17. Nhắm và bắn!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17. Nhắm và bắn!.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17. Nhắm và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17. Nhắm và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17. Nhắm và bắn!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Nhắm và bắn!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