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16/01/2027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20/01/2027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2A1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20. CÙNG NHAU THAM QUAN THÀNH PHỐ (Tiết: 24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phương tiện giao thông công cộng.</w:t>
      </w:r>
    </w:p>
    <w:p>
      <w:pPr>
        <w:spacing w:line="276" w:lineRule="auto" w:after="60" w:before="0"/>
        <w:ind w:firstLine="709"/>
        <w:jc w:val="both"/>
      </w:pPr>
      <w:r>
        <w:rPr>
          <w:rFonts w:ascii="Times New Roman" w:hAnsi="Times New Roman" w:cs="Times New Roman" w:eastAsia="Times New Roman"/>
          <w:b w:val="0"/>
          <w:i w:val="0"/>
          <w:sz w:val="26"/>
        </w:rPr>
        <w:t>+ Lắp mô hình xe buýt 2 tầng chở khách.</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20. Cùng nhau tham quan thành phố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20. Cùng nhau tham quan thành phố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20. Cùng nhau tham quan thành phố.</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20. Cùng nhau tham quan thành phố.</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20. Cùng nhau tham quan thành phố.</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20. Cùng nhau tham quan thành phố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20. Cùng nhau tham quan thành phố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