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08/08/2026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12/08/2026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3A1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1. HÃY NẤU NHỮNG MÓN ĂN NGON (Tiết: 1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văn hóa ẩm thực và nghề đầu bếp.</w:t>
      </w:r>
    </w:p>
    <w:p>
      <w:pPr>
        <w:spacing w:line="276" w:lineRule="auto" w:after="60" w:before="0"/>
        <w:ind w:firstLine="709"/>
        <w:jc w:val="both"/>
      </w:pPr>
      <w:r>
        <w:rPr>
          <w:rFonts w:ascii="Times New Roman" w:hAnsi="Times New Roman" w:cs="Times New Roman" w:eastAsia="Times New Roman"/>
          <w:b w:val="0"/>
          <w:i w:val="0"/>
          <w:sz w:val="26"/>
        </w:rPr>
        <w:t>+ Lắp mô hình robot nhà bếp khuấy đảo.</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 Hãy nấu những món ăn ngon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 Hãy nấu những món ăn ngon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 Hãy nấu những món ăn ngon.</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 Hãy nấu những món ăn ngon.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 Hãy nấu những món ăn ngon.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 Hãy nấu những món ăn ngon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 Hãy nấu những món ăn ngon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