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9. MÔI TRƯỜNG BIỂN (Tiết: 11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bảo vệ hệ sinh thái biển.</w:t>
      </w:r>
    </w:p>
    <w:p>
      <w:pPr>
        <w:spacing w:line="276" w:lineRule="auto" w:after="60" w:before="0"/>
        <w:ind w:firstLine="709"/>
        <w:jc w:val="both"/>
      </w:pPr>
      <w:r>
        <w:rPr>
          <w:rFonts w:ascii="Times New Roman" w:hAnsi="Times New Roman" w:cs="Times New Roman" w:eastAsia="Times New Roman"/>
          <w:b w:val="0"/>
          <w:i w:val="0"/>
          <w:sz w:val="26"/>
        </w:rPr>
        <w:t>+ Lắp mô hình tàu dọn rác đại dương.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Môi trường biển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9. Môi trường biển.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9. Môi trường biển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Môi trường biển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