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28/10/2026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10. CÙNG CÂU CÁ NÀO! (Tiết: 12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ròng rọc kéo dây.</w:t>
      </w:r>
    </w:p>
    <w:p>
      <w:pPr>
        <w:spacing w:line="276" w:lineRule="auto" w:after="60" w:before="0"/>
        <w:ind w:firstLine="709"/>
        <w:jc w:val="both"/>
      </w:pPr>
      <w:r>
        <w:rPr>
          <w:rFonts w:ascii="Times New Roman" w:hAnsi="Times New Roman" w:cs="Times New Roman" w:eastAsia="Times New Roman"/>
          <w:b w:val="0"/>
          <w:i w:val="0"/>
          <w:sz w:val="26"/>
        </w:rPr>
        <w:t>+ Lắp mô hình cần câu cá tự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Cùng câu cá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Initiate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10. Cùng câu cá nào!.</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10. Cùng câu cá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10. Cùng câu cá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10. Cùng câu cá nào!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Cùng câu cá nào!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