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14. SỨC MẠNH CỦA MÁY ỦI (Tiết: 16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nguyên lý máy ủi san lấp mặt bằng.</w:t>
      </w:r>
    </w:p>
    <w:p>
      <w:pPr>
        <w:spacing w:line="276" w:lineRule="auto" w:after="60" w:before="0"/>
        <w:ind w:firstLine="709"/>
        <w:jc w:val="both"/>
      </w:pPr>
      <w:r>
        <w:rPr>
          <w:rFonts w:ascii="Times New Roman" w:hAnsi="Times New Roman" w:cs="Times New Roman" w:eastAsia="Times New Roman"/>
          <w:b w:val="0"/>
          <w:i w:val="0"/>
          <w:sz w:val="26"/>
        </w:rPr>
        <w:t>+ Lắp mô hình máy ủi công trình.</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14. Sức mạnh của máy ủi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14. Sức mạnh của máy ủi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14. Sức mạnh của máy ủi.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14. Sức mạnh của máy ủi.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14. Sức mạnh của máy ủi.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14. Sức mạnh của máy ủi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14. Sức mạnh của máy ủi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