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15. MÁY XÚC (Tiết: 19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tay đòn thủy lực máy xúc.</w:t>
      </w:r>
    </w:p>
    <w:p>
      <w:pPr>
        <w:spacing w:line="276" w:lineRule="auto" w:after="60" w:before="0"/>
        <w:ind w:firstLine="709"/>
        <w:jc w:val="both"/>
      </w:pPr>
      <w:r>
        <w:rPr>
          <w:rFonts w:ascii="Times New Roman" w:hAnsi="Times New Roman" w:cs="Times New Roman" w:eastAsia="Times New Roman"/>
          <w:b w:val="0"/>
          <w:i w:val="0"/>
          <w:sz w:val="26"/>
        </w:rPr>
        <w:t>+ Lắp mô hình máy xúc đào đất.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Máy xúc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15. Máy xúc.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15. Máy xúc.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15. Máy xúc.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15. Máy xúc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Máy xúc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