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18. ĐỘ ĐÀN HỒI, LỰC ĐẨY CỦA CUNG TÊN (Tiết: 22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thế năng đàn hồi.</w:t>
      </w:r>
    </w:p>
    <w:p>
      <w:pPr>
        <w:spacing w:line="276" w:lineRule="auto" w:after="60" w:before="0"/>
        <w:ind w:firstLine="709"/>
        <w:jc w:val="both"/>
      </w:pPr>
      <w:r>
        <w:rPr>
          <w:rFonts w:ascii="Times New Roman" w:hAnsi="Times New Roman" w:cs="Times New Roman" w:eastAsia="Times New Roman"/>
          <w:b w:val="0"/>
          <w:i w:val="0"/>
          <w:sz w:val="26"/>
        </w:rPr>
        <w:t>+ Lắp mô hình cung nỏ cơ khí bắn tên.</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18. Độ đàn hồi, lực đẩy của cung tên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18. Độ đàn hồi, lực đẩy của cung tên.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18. Độ đàn hồi, lực đẩy của cung tên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18. Độ đàn hồi, lực đẩy của cung tên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