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3A1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21. KHÁM PHÁ TRANG PHỤC NGƯỜI DA ĐỎ (Tiết: 25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văn hóa thổ dân.</w:t>
      </w:r>
    </w:p>
    <w:p>
      <w:pPr>
        <w:spacing w:line="276" w:lineRule="auto" w:after="60" w:before="0"/>
        <w:ind w:firstLine="709"/>
        <w:jc w:val="both"/>
      </w:pPr>
      <w:r>
        <w:rPr>
          <w:rFonts w:ascii="Times New Roman" w:hAnsi="Times New Roman" w:cs="Times New Roman" w:eastAsia="Times New Roman"/>
          <w:b w:val="0"/>
          <w:i w:val="0"/>
          <w:sz w:val="26"/>
        </w:rPr>
        <w:t>+ Lắp mô hình vũ công múa lễ hội truyền thống.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21. Khám phá trang phục người da đỏ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21. Khám phá trang phục người da đỏ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21. Khám phá trang phục người da đỏ.</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21. Khám phá trang phục người da đỏ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Khám phá trang phục người da đỏ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