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17/08/2026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 HÀM RĂNG TRẮNG SÁNG (Tiết: 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hàm răng và vệ sinh răng miệng.</w:t>
      </w:r>
    </w:p>
    <w:p>
      <w:pPr>
        <w:spacing w:line="276" w:lineRule="auto" w:after="60" w:before="0"/>
        <w:ind w:firstLine="709"/>
        <w:jc w:val="both"/>
      </w:pPr>
      <w:r>
        <w:rPr>
          <w:rFonts w:ascii="Times New Roman" w:hAnsi="Times New Roman" w:cs="Times New Roman" w:eastAsia="Times New Roman"/>
          <w:b w:val="0"/>
          <w:i w:val="0"/>
          <w:sz w:val="26"/>
        </w:rPr>
        <w:t>+ Lắp mô hình hàm răng cử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Hàm răng trắng sáng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 Hàm răng trắng sáng.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 Hàm răng trắng sáng.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 Hàm răng trắng sáng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Hàm răng trắng sáng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