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07/09/2026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5. NHỮNG BẠN NHỎ LỄ PHÉP (Tiết: 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hành vi giao tiếp lịch sự.</w:t>
      </w:r>
    </w:p>
    <w:p>
      <w:pPr>
        <w:spacing w:line="276" w:lineRule="auto" w:after="60" w:before="0"/>
        <w:ind w:firstLine="709"/>
        <w:jc w:val="both"/>
      </w:pPr>
      <w:r>
        <w:rPr>
          <w:rFonts w:ascii="Times New Roman" w:hAnsi="Times New Roman" w:cs="Times New Roman" w:eastAsia="Times New Roman"/>
          <w:b w:val="0"/>
          <w:i w:val="0"/>
          <w:sz w:val="26"/>
        </w:rPr>
        <w:t>+ Lắp robot cúi chào lễ phép.</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5. Những bạn nhỏ lễ phép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5. Những bạn nhỏ lễ phép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5. Những bạn nhỏ lễ phép.</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5. Những bạn nhỏ lễ phép.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5. Những bạn nhỏ lễ phép.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5. Những bạn nhỏ lễ phép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Những bạn nhỏ lễ phép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