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14/09/2026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6. ĐỘNG VẬT THÂN MỀM (Tiết: 6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cấu tạo động vật thân mềm.</w:t>
      </w:r>
    </w:p>
    <w:p>
      <w:pPr>
        <w:spacing w:line="276" w:lineRule="auto" w:after="60" w:before="0"/>
        <w:ind w:firstLine="709"/>
        <w:jc w:val="both"/>
      </w:pPr>
      <w:r>
        <w:rPr>
          <w:rFonts w:ascii="Times New Roman" w:hAnsi="Times New Roman" w:cs="Times New Roman" w:eastAsia="Times New Roman"/>
          <w:b w:val="0"/>
          <w:i w:val="0"/>
          <w:sz w:val="26"/>
        </w:rPr>
        <w:t>+ Lắp mô hình bạch tuộc bơi lội.</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6. Động vật thân mềm mô phỏng sự vật/hiện tượng thực tế và hiểu nguyên lý hoạt động cơ bản. (Đạt được thông qua Hoạt động 2)</w:t>
      </w:r>
      <w:r>
        <w:rPr>
          <w:rFonts w:ascii="Times New Roman" w:hAnsi="Times New Roman" w:cs="Times New Roman"/>
          <w:i/>
          <w:sz w:val="26"/>
        </w:rPr>
        <w:t xml:space="preserve"> (Giáo trình Robotics Lớp 4: Động vật thân mềm)</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6. Động vật thân mềm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4.C1.1: </w:t>
      </w:r>
      <w:r>
        <w:rPr>
          <w:rFonts w:ascii="Times New Roman" w:hAnsi="Times New Roman" w:cs="Times New Roman"/>
          <w:b w:val="0"/>
          <w:sz w:val="26"/>
        </w:rPr>
        <w:t>Hiểu cấu tạo các khớp chuyển động mềm dẻo và ứng dụng trong cánh tay robot sinh học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4.D2.1: </w:t>
      </w:r>
      <w:r>
        <w:rPr>
          <w:rFonts w:ascii="Times New Roman" w:hAnsi="Times New Roman" w:cs="Times New Roman"/>
          <w:b w:val="0"/>
          <w:sz w:val="26"/>
        </w:rPr>
        <w:t>Chế tạo mô hình có nhiều bậc tự do, phối hợp nhiều khớp chuyển động (Đạt được thông qua Hoạt động 2, Hoạt động 3).</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6. Động vật thân mềm.</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6. Động vật thân mềm.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6. Động vật thân mềm.</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6. Động vật thân mềm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6. Động vật thân mềm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