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31/10/2026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11. THẾ GIỚI KHỦNG LONG (Tiết: 13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các loài khủng long ăn cỏ.</w:t>
      </w:r>
    </w:p>
    <w:p>
      <w:pPr>
        <w:spacing w:line="276" w:lineRule="auto" w:after="60" w:before="0"/>
        <w:ind w:firstLine="709"/>
        <w:jc w:val="both"/>
      </w:pPr>
      <w:r>
        <w:rPr>
          <w:rFonts w:ascii="Times New Roman" w:hAnsi="Times New Roman" w:cs="Times New Roman" w:eastAsia="Times New Roman"/>
          <w:b w:val="0"/>
          <w:i w:val="0"/>
          <w:sz w:val="26"/>
        </w:rPr>
        <w:t>+ Lắp mô hình khủng long cổ dài sải bước.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11. Thế giới khủng long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11. Thế giới khủng long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11. Thế giới khủng long.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11. Thế giới khủng long.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11. Thế giới khủng long.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11. Thế giới khủng long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11. Thế giới khủng long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