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12/12/2026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14/12/2026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4C1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INITIATE</w:t>
      </w:r>
    </w:p>
    <w:p>
      <w:pPr>
        <w:spacing w:line="276" w:lineRule="auto" w:after="60" w:before="0"/>
        <w:jc w:val="center"/>
      </w:pPr>
      <w:r>
        <w:rPr>
          <w:rFonts w:ascii="Times New Roman" w:hAnsi="Times New Roman" w:cs="Times New Roman" w:eastAsia="Times New Roman"/>
          <w:b/>
          <w:i w:val="0"/>
          <w:sz w:val="26"/>
        </w:rPr>
        <w:t>BÀI 15. MÁY XÚC (Tiết: 19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cơ cấu tay đòn thủy lực máy xúc.</w:t>
      </w:r>
    </w:p>
    <w:p>
      <w:pPr>
        <w:spacing w:line="276" w:lineRule="auto" w:after="60" w:before="0"/>
        <w:ind w:firstLine="709"/>
        <w:jc w:val="both"/>
      </w:pPr>
      <w:r>
        <w:rPr>
          <w:rFonts w:ascii="Times New Roman" w:hAnsi="Times New Roman" w:cs="Times New Roman" w:eastAsia="Times New Roman"/>
          <w:b w:val="0"/>
          <w:i w:val="0"/>
          <w:sz w:val="26"/>
        </w:rPr>
        <w:t>+ Lắp mô hình máy xúc đào đất.</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15. Máy xúc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2: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2: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15. Máy xúc.</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15. Máy xúc.</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15. Máy xúc.</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15. Máy xúc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15. Máy xúc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