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19/12/2026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21/12/2026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16. CÙNG NHAU ĐI KHẮP THẾ GIỚI (Tiết: 20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các phương tiện vượt đại dương.</w:t>
      </w:r>
    </w:p>
    <w:p>
      <w:pPr>
        <w:spacing w:line="276" w:lineRule="auto" w:after="60" w:before="0"/>
        <w:ind w:firstLine="709"/>
        <w:jc w:val="both"/>
      </w:pPr>
      <w:r>
        <w:rPr>
          <w:rFonts w:ascii="Times New Roman" w:hAnsi="Times New Roman" w:cs="Times New Roman" w:eastAsia="Times New Roman"/>
          <w:b w:val="0"/>
          <w:i w:val="0"/>
          <w:sz w:val="26"/>
        </w:rPr>
        <w:t>+ Lắp mô hình thuyền buồm hai thân.</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16. Cùng nhau đi khắp thế giới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16. Cùng nhau đi khắp thế giới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16. Cùng nhau đi khắp thế giới.</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16. Cùng nhau đi khắp thế giới.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16. Cùng nhau đi khắp thế giới.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16. Cùng nhau đi khắp thế giới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16. Cùng nhau đi khắp thế giới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