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09/01/2027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11/01/2027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19. BA! HAI! MỘT! BẮN!!! (Tiết: 23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cơ chế bệ phóng tên lửa.</w:t>
      </w:r>
    </w:p>
    <w:p>
      <w:pPr>
        <w:spacing w:line="276" w:lineRule="auto" w:after="60" w:before="0"/>
        <w:ind w:firstLine="709"/>
        <w:jc w:val="both"/>
      </w:pPr>
      <w:r>
        <w:rPr>
          <w:rFonts w:ascii="Times New Roman" w:hAnsi="Times New Roman" w:cs="Times New Roman" w:eastAsia="Times New Roman"/>
          <w:b w:val="0"/>
          <w:i w:val="0"/>
          <w:sz w:val="26"/>
        </w:rPr>
        <w:t>+ Lắp mô hình bệ phóng tên lửa tự động.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19. Ba! Hai! Một! Bắn!!!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Initiate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19. Ba! Hai! Một! Bắn!!!.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19. Ba! Hai! Một! Bắn!!!.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19. Ba! Hai! Một! Bắn!!!.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19. Ba! Hai! Một! Bắn!!!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19. Ba! Hai! Một! Bắn!!!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