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7. CƠ CHẾ TĂNG GIẢM CHIỀU DÀI TỰ ĐỘNG (Tiết: 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kẹp linh hoạt và cánh tay robot.</w:t>
      </w:r>
    </w:p>
    <w:p>
      <w:pPr>
        <w:spacing w:line="276" w:lineRule="auto" w:after="60" w:before="0"/>
        <w:ind w:firstLine="709"/>
        <w:jc w:val="both"/>
      </w:pPr>
      <w:r>
        <w:rPr>
          <w:rFonts w:ascii="Times New Roman" w:hAnsi="Times New Roman" w:cs="Times New Roman" w:eastAsia="Times New Roman"/>
          <w:b w:val="0"/>
          <w:i w:val="0"/>
          <w:sz w:val="26"/>
        </w:rPr>
        <w:t>+ Lắp robot gỡ bom/gắp vật xa.</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7. Cơ chế tăng giảm chiều dài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7. Cơ chế tăng giảm chiều dài tự động.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7. Cơ chế tăng giảm chiều dài tự động.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7. Cơ chế tăng giảm chiều dài tự động.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7. Cơ chế tăng giảm chiều dài tự động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Cơ chế tăng giảm chiều dài tự động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