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20. ROBOT PHÂN LOẠI SẢN PHẨM (Tiết: 27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hệ thống tự động hóa trong nhà máy.</w:t>
      </w:r>
    </w:p>
    <w:p>
      <w:pPr>
        <w:spacing w:line="276" w:lineRule="auto" w:after="60" w:before="0"/>
        <w:ind w:firstLine="709"/>
        <w:jc w:val="both"/>
      </w:pPr>
      <w:r>
        <w:rPr>
          <w:rFonts w:ascii="Times New Roman" w:hAnsi="Times New Roman" w:cs="Times New Roman" w:eastAsia="Times New Roman"/>
          <w:b w:val="0"/>
          <w:i w:val="0"/>
          <w:sz w:val="26"/>
        </w:rPr>
        <w:t>+ Lắp robot phân loại đồ vật theo kích thước/màu sắc.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20. Robot phân loại sản phẩm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20. Robot phân loại sản phẩm.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20. Robot phân loại sản phẩm.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20. Robot phân loại sản phẩm.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20. Robot phân loại sản phẩm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Robot phân loại sản phẩm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