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04/09/2026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3. ROBOT NHẬN BIẾT ÂM THANH</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Cảm biến âm thanh</w:t>
      </w:r>
    </w:p>
    <w:p>
      <w:pPr>
        <w:spacing w:line="276" w:lineRule="auto" w:after="60" w:before="0"/>
        <w:ind w:firstLine="0" w:left="850"/>
        <w:jc w:val="both"/>
      </w:pPr>
      <w:r>
        <w:rPr>
          <w:rFonts w:ascii="Times New Roman" w:hAnsi="Times New Roman" w:cs="Times New Roman" w:eastAsia="Times New Roman"/>
          <w:b w:val="0"/>
          <w:i w:val="0"/>
          <w:sz w:val="26"/>
        </w:rPr>
        <w:t>- Lắp robot phản ứng với tiếng vỗ tay</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3. Robot nhận biết âm thanh.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3. Robot nhận biết âm thanh.</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3. Robot nhận biết âm thanh.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3. Robot nhận biết âm thanh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3. Robot nhận biết âm thanh.</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3. Robot nhận biết âm thanh.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3. Robot nhận biết âm thanh.</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3. Robot nhận biết âm thanh.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3. Robot nhận biết âm thanh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3. Robot nhận biết âm thanh.</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3. Robot nhận biết âm thanh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3. Robot nhận biết âm thanh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