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12. DOMINO TRONG ROBOTICS</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14</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Chuyển động chính xác</w:t>
      </w:r>
    </w:p>
    <w:p>
      <w:pPr>
        <w:spacing w:line="276" w:lineRule="auto" w:after="60" w:before="0"/>
        <w:ind w:firstLine="0" w:left="850"/>
        <w:jc w:val="both"/>
      </w:pPr>
      <w:r>
        <w:rPr>
          <w:rFonts w:ascii="Times New Roman" w:hAnsi="Times New Roman" w:cs="Times New Roman" w:eastAsia="Times New Roman"/>
          <w:b w:val="0"/>
          <w:i w:val="0"/>
          <w:sz w:val="26"/>
        </w:rPr>
        <w:t>- Lắp robot xếp khối domino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12. Domino trong Robotics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12. Domino trong Robotics.</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12. Domino trong Robotics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12. Domino trong Robotics.</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12. Domino trong Robotics.</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12. Domino trong Robotics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12. Domino trong Robotics.</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12. Domino trong Robotics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12. Domino trong Robotics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