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14. ROBOT THÁM HIỂM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thám hiểm địa hình hiểm trở</w:t>
      </w:r>
    </w:p>
    <w:p>
      <w:pPr>
        <w:spacing w:line="276" w:lineRule="auto" w:after="60" w:before="0"/>
        <w:ind w:firstLine="0" w:left="850"/>
        <w:jc w:val="both"/>
      </w:pPr>
      <w:r>
        <w:rPr>
          <w:rFonts w:ascii="Times New Roman" w:hAnsi="Times New Roman" w:cs="Times New Roman" w:eastAsia="Times New Roman"/>
          <w:b w:val="0"/>
          <w:i w:val="0"/>
          <w:sz w:val="26"/>
        </w:rPr>
        <w:t>- Lắp và vận hành robot bánh xích vượt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Robot thám hiểm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Robot thám hiểm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14. Robot thám hiểm.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14. Robot thám hiểm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14. Robot thám hiểm.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14. Robot thám hiểm.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14. Robot thám hiểm.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Robot thám hiểm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14. Robot thám hiểm.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14. Robot thám hiểm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14. Robot thám hiểm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