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19. KHÁM PHÁ CÁNH TAY ROBOT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Cấu tạo các khớp chuyển động</w:t>
      </w:r>
    </w:p>
    <w:p>
      <w:pPr>
        <w:spacing w:line="276" w:lineRule="auto" w:after="60" w:before="0"/>
        <w:ind w:firstLine="0" w:left="850"/>
        <w:jc w:val="both"/>
      </w:pPr>
      <w:r>
        <w:rPr>
          <w:rFonts w:ascii="Times New Roman" w:hAnsi="Times New Roman" w:cs="Times New Roman" w:eastAsia="Times New Roman"/>
          <w:b w:val="0"/>
          <w:i w:val="0"/>
          <w:sz w:val="26"/>
        </w:rPr>
        <w:t>- Lắp ráp mô hình cánh tay robot 3 bậc tự do</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19. Khám phá cánh tay robot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19. Khám phá cánh tay robot.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19. Khám phá cánh tay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19. Khám phá cánh tay robot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19. Khám phá cánh tay robot.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19. Khám phá cánh tay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19. Khám phá cánh tay robot.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19. Khám phá cánh tay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19. Khám phá cánh tay robot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19. Khám phá cánh tay robot.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19. Khám phá cánh tay robot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19. Khám phá cánh tay robot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