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15/08/2026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18/08/2026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2. ROBOT CỐ ĐỊNH VẬT</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Dụng cụ cố định đồ vật</w:t>
      </w:r>
    </w:p>
    <w:p>
      <w:pPr>
        <w:spacing w:line="276" w:lineRule="auto" w:after="60" w:before="0"/>
        <w:ind w:firstLine="0" w:left="850"/>
        <w:jc w:val="both"/>
      </w:pPr>
      <w:r>
        <w:rPr>
          <w:rFonts w:ascii="Times New Roman" w:hAnsi="Times New Roman" w:cs="Times New Roman" w:eastAsia="Times New Roman"/>
          <w:b w:val="0"/>
          <w:i w:val="0"/>
          <w:sz w:val="26"/>
        </w:rPr>
        <w:t>- Thiết kế robot xe gắp và di chuyển vật thể</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2. Robot cố định vật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2. Robot cố định vật.</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2. Robot cố định vật.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2. Robot cố định vật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2. Robot cố định vật.</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2. Robot cố định vật.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2. Robot cố định vật.</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2. Robot cố định vật.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 Robot cố định vật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2. Robot cố định vật.</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2. Robot cố định vật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2. Robot cố định vật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