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02/04/2027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TỔNG KẾT MÔN HỌC &amp; TRIỂN LÃM ROBOTICS (TIẾT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34</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Báo cáo dự án, trao chứng nhận và định hướng phát triển công nghệ trong năm học tiếp theo</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Excel 1 và nội quy phòng học Robotics.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Tổng kết môn học &amp; Triển lãm Robotics (Tiết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Tổng kết môn học &amp; Triển lãm Robotics (Tiết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Tổng kết môn học &amp; Triển lãm Robotics (Tiết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Tổng kết môn học &amp; Triển lãm Robotics (Tiết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Tổng kết môn học &amp; Triển lãm Robotics (Tiết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Tổng kết môn học &amp; Triển lãm Robotics (Tiết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Tổng kết môn học &amp; Triển lãm Robotics (Tiết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Tổng kết môn học &amp; Triển lãm Robotics (Tiết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Tổng kết môn học &amp; Triển lãm Robotics (Tiết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Tổng kết môn học &amp; Triển lãm Robotics (Tiết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Tổng kết môn học &amp; Triển lãm Robotics (Tiết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