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10/10/2026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13/10/2026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5C1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EXCEL 1</w:t>
      </w:r>
    </w:p>
    <w:p>
      <w:pPr>
        <w:spacing w:line="276" w:lineRule="auto" w:after="60" w:before="0"/>
        <w:jc w:val="center"/>
      </w:pPr>
      <w:r>
        <w:rPr>
          <w:rFonts w:ascii="Times New Roman" w:hAnsi="Times New Roman" w:cs="Times New Roman" w:eastAsia="Times New Roman"/>
          <w:b/>
          <w:i w:val="0"/>
          <w:sz w:val="26"/>
        </w:rPr>
        <w:t>BÀI 8. ROBOT NHẬN BIẾT VẬT THỂ BẰNG CÁCH NÀO? (Tiết: 10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Nêu được nguyên lý hoạt động của cảm biến hồng ngoại.</w:t>
      </w:r>
    </w:p>
    <w:p>
      <w:pPr>
        <w:spacing w:line="276" w:lineRule="auto" w:after="60" w:before="0"/>
        <w:ind w:firstLine="709"/>
        <w:jc w:val="both"/>
      </w:pPr>
      <w:r>
        <w:rPr>
          <w:rFonts w:ascii="Times New Roman" w:hAnsi="Times New Roman" w:cs="Times New Roman" w:eastAsia="Times New Roman"/>
          <w:b w:val="0"/>
          <w:i w:val="0"/>
          <w:sz w:val="26"/>
        </w:rPr>
        <w:t>- Nêu được vị trí của cảm biến hồng ngoại trên bộ điều khiển RB88.</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Lắp ráp, phối hợp các cơ cấu truyền động và sáng tạo cải tiến mô hình robot Bài 8. Robot nhận biết vật thể bằng cách nào? thực hiện nhiệm vụ đặt ra.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Sử dụng thành thạo các module, khớp nối và linh kiện bộ kit OLLO Excel 1 theo đúng tiêu chuẩn an toàn. (Đạt được thông qua Hoạt động 2,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2: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2: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8. Robot nhận biết vật thể bằng cách nào?.</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8. Robot nhận biết vật thể bằng cách nào?.</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thông báo cho học sinh kiến thức về tia hồng ngoại, cảm biến hồng ngoại.</w:t>
              <w:br/>
              <w:t>+ HS lắng nghe và ghi nhớ.</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inline distT="0" distB="0" distL="0" distR="0" wp14:anchorId="5A7173E8" wp14:editId="72C90870">
                  <wp:extent cx="2813446" cy="1355262"/>
                  <wp:effectExtent l="0" t="0" r="6350" b="0"/>
                  <wp:docPr id="1" name="Picture 1" descr="A diagram of a spectru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spectrum&#10;&#10;Description automatically generated"/>
                          <pic:cNvPicPr/>
                        </pic:nvPicPr>
                        <pic:blipFill rotWithShape="1">
                          <a:blip r:embed="rId16" cstate="print">
                            <a:extLst>
                              <a:ext uri="{28A0092B-C50C-407E-A947-70E740481C1C}">
                                <a14:useLocalDpi xmlns:a14="http://schemas.microsoft.com/office/drawing/2010/main" val="0"/>
                              </a:ext>
                            </a:extLst>
                          </a:blip>
                          <a:srcRect t="13292"/>
                          <a:stretch/>
                        </pic:blipFill>
                        <pic:spPr bwMode="auto">
                          <a:xfrm>
                            <a:off x="0" y="0"/>
                            <a:ext cx="2879928" cy="1387287"/>
                          </a:xfrm>
                          <a:prstGeom prst="rect">
                            <a:avLst/>
                          </a:prstGeom>
                          <a:ln>
                            <a:noFill/>
                          </a:ln>
                          <a:extLst>
                            <a:ext uri="{53640926-AAD7-44D8-BBD7-CCE9431645EC}">
                              <a14:shadowObscured xmlns:a14="http://schemas.microsoft.com/office/drawing/2010/main"/>
                            </a:ext>
                          </a:extLst>
                        </pic:spPr>
                      </pic:pic>
                    </a:graphicData>
                  </a:graphic>
                </wp:inline>
              </w:drawing>
            </w:r>
          </w:p>
          <w:p>
            <w:pPr>
              <w:jc w:val="center"/>
            </w:pPr>
            <w:r>
              <w:drawing>
                <wp:inline distT="0" distB="0" distL="0" distR="0" wp14:anchorId="44BC4E87" wp14:editId="1EE4286B">
                  <wp:extent cx="2554724" cy="1691005"/>
                  <wp:effectExtent l="0" t="0" r="0" b="4445"/>
                  <wp:docPr id="124" name="picture 124" descr="Sung. Tên ảnh gốc: CLP000016640019.bmp Kích thước của ảnh gốc: rộng 424 pixel x cao 284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7" cstate="print">
                            <a:lum/>
                          </a:blip>
                          <a:srcRect/>
                          <a:stretch>
                            <a:fillRect/>
                          </a:stretch>
                        </pic:blipFill>
                        <pic:spPr>
                          <a:xfrm>
                            <a:off x="0" y="0"/>
                            <a:ext cx="2559176" cy="1693952"/>
                          </a:xfrm>
                          <a:prstGeom prst="rect">
                            <a:avLst/>
                          </a:prstGeom>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Phần trình bày trong vở của HS.</w:t>
              <w:br/>
              <w:t>+ Tia hồng ngoại: Là những bức xạ không nhìn thấy được, có bước sóng lớn hơn bước sóng của ánh sáng đỏ trong vùng ánh sáng nhìn thấy.</w:t>
              <w:br/>
              <w:t>+ Cảm biến hồng ngoại sử dụng ánh sáng hồng ngoại không nhìn thấy được. Cảm biến hồng ngoại sử dụng hai mắt: phát và nhận. Tia hồng ngoại được phát ra từ mắt trắng chiếu vào các vật, sau khi bị phản xạ ngược lại thì được mắt đen nhận.</w:t>
              <w:br/>
              <w:t>+  Các vật thể có màu sáng có phản xạ hồng ngoại tốt hơn các vật thể màu tối: Khi mắt trắng phát ra tia hồng ngoại gặp vật cản màu sáng, do đặc tính màu sáng không hấp thụ ánh sáng hoặc hấp thụ rất ít nên phần lớn ánh sáng sẽ được phản xạ ngược lại và được mắt đen tiếp nhận. Còn nếu tia sáng phát ra gặp vật cản màu tối, màu đen, phần lớn ánh sáng sẽ bị vật hấp thụ nên sẽ còn rất ít ánh sáng bị phẩn xạ ngược trở về.</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8. Robot nhận biết vật thể bằng cách nào?.</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phát động cơ và cho HS tìm vị trí các cảm biến hồng ngoại.</w:t>
              <w:br/>
              <w:t>+ HS thảo luận và trả lời câu hỏi.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học sinh</w:t>
              <w:br/>
              <w:t>+ Trên động cơ RB88 có 6 cảm biến hồng ngoại phân bố trên hai mặt của động cơ.</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8. Robot nhận biết vật thể bằng cách nào?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8. Robot nhận biết vật thể bằng cách nào?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lựa chọn các mảnh ghép và lắp ghép theo hướng dẫn trong sách. Lưu ý cách sử dụng chốt trong suốt.</w:t>
              <w:br/>
              <w:t>+ HS tiến hành lắp ráp robot Quái thú ăn thịt.</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inline distT="0" distB="0" distL="0" distR="0" wp14:anchorId="2F3D6887" wp14:editId="7B02CC21">
                  <wp:extent cx="2632495" cy="2056765"/>
                  <wp:effectExtent l="0" t="0" r="0" b="635"/>
                  <wp:docPr id="130" name="picture 130" descr="Sung. Tên ảnh gốc: CLP000016640021.bmp Kích thước của ảnh gốc: rộng 790 pixel x cao 616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8" cstate="print">
                            <a:lum/>
                          </a:blip>
                          <a:srcRect/>
                          <a:stretch>
                            <a:fillRect/>
                          </a:stretch>
                        </pic:blipFill>
                        <pic:spPr>
                          <a:xfrm>
                            <a:off x="0" y="0"/>
                            <a:ext cx="2639342" cy="2062115"/>
                          </a:xfrm>
                          <a:prstGeom prst="rect">
                            <a:avLst/>
                          </a:prstGeom>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cho robot.</w:t>
              <w:br/>
              <w:t>+ HS tiến hành lắp ráp, sáng tạo dựa trên những gợi ý của GV và những mảnh ghép còn trong hộp.</w:t>
              <w:br/>
              <w:t>5. Tự học (Let’s move)</w:t>
              <w:br/>
              <w:t>- Mục tiêu: Vận hành được robot đã lắp.</w:t>
              <w:br/>
              <w:t>- Nội dung: HS vận hành robot vừa lắp, chơi với robot.</w:t>
              <w:br/>
              <w:t>+ GV tổ chức cho HS chơi với robot sau khi lắp xong.</w:t>
              <w:br/>
              <w:t>+ HS tự chơi với robot.</w:t>
              <w:br/>
              <w:t>6. Tự kiểm tra (Let’s check)</w:t>
              <w:br/>
              <w:t>- Mục tiêu: HS tháo được chốt, sắp xếp ngăn nắp các mảnh ghép vào trong hộp.</w:t>
              <w:br/>
              <w:t>- Nội dung: HS tháo chốt, sắp xếp các mảnh ghép.</w:t>
              <w:br/>
              <w:t>+ GV cho HS tháo chốt.</w:t>
              <w:br/>
              <w:t>+ HS tiến hành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