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26/12/2026</w:t>
            </w:r>
          </w:p>
          <w:p>
            <w:pPr>
              <w:spacing w:line="360" w:lineRule="auto" w:after="40"/>
              <w:jc w:val="left"/>
            </w:pPr>
            <w:r>
              <w:rPr>
                <w:rFonts w:ascii="Times New Roman" w:hAnsi="Times New Roman" w:eastAsia="Times New Roman"/>
                <w:b w:val="0"/>
                <w:i w:val="0"/>
                <w:sz w:val="26"/>
              </w:rPr>
              <w:t>Ngày dạy: 28/12/2026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KỂ CHUYỆN SỐ (Tiết: 21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Xác định mở đầu – diễn biến – kết thúc.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Kể chuyện số.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Kể chuyện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Kể chuyện số.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Kể chuyện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