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20/02/2027</w:t>
            </w:r>
          </w:p>
          <w:p>
            <w:pPr>
              <w:spacing w:line="360" w:lineRule="auto" w:after="40"/>
              <w:jc w:val="left"/>
            </w:pPr>
            <w:r>
              <w:rPr>
                <w:rFonts w:ascii="Times New Roman" w:hAnsi="Times New Roman" w:eastAsia="Times New Roman"/>
                <w:b w:val="0"/>
                <w:i w:val="0"/>
                <w:sz w:val="26"/>
              </w:rPr>
              <w:t>Ngày dạy: 22/02/2027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câu chuyện số ngắn.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3.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