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06/03/2027</w:t>
            </w:r>
          </w:p>
          <w:p>
            <w:pPr>
              <w:spacing w:line="360" w:lineRule="auto" w:after="40"/>
              <w:jc w:val="left"/>
            </w:pPr>
            <w:r>
              <w:rPr>
                <w:rFonts w:ascii="Times New Roman" w:hAnsi="Times New Roman" w:eastAsia="Times New Roman"/>
                <w:b w:val="0"/>
                <w:i w:val="0"/>
                <w:sz w:val="26"/>
              </w:rPr>
              <w:t>Ngày dạy: 09/03/2027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LẬP TRÌNH ROBOT THEO NHIỆM VỤ (Tiết: 31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Chuỗi lệnh điều khiển robot.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Lập trình robot theo nhiệm vụ.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Lập trình robot theo nhiệm vụ.</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Lập trình robot theo nhiệm vụ.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Lập trình robot theo nhiệm vụ.</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