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03/09/2026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2. XỬ LÍ THÔNG TIN (TIẾT 2)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Xác định các bước xử lí thông tin trong hoạt động thường ngày.</w:t>
      </w:r>
    </w:p>
    <w:p>
      <w:pPr>
        <w:spacing w:line="319" w:lineRule="auto" w:after="60" w:before="0"/>
        <w:ind w:firstLine="0" w:left="850"/>
        <w:jc w:val="both"/>
      </w:pPr>
      <w:r>
        <w:rPr>
          <w:rFonts w:ascii="Times New Roman" w:hAnsi="Times New Roman" w:eastAsia="Times New Roman"/>
          <w:b w:val="0"/>
          <w:i w:val="0"/>
          <w:sz w:val="26"/>
        </w:rPr>
        <w:t>+ Bước đầu làm quen với cách máy tính tiếp nhận và xử lí dữ liệu.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2: Xử lí thông tin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 Xử lí thông tin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2: Xử lí thông tin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2: Xử lí thông tin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