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28/11/2026</w:t>
            </w:r>
          </w:p>
          <w:p>
            <w:pPr>
              <w:spacing w:line="360" w:lineRule="auto" w:after="40"/>
              <w:jc w:val="left"/>
            </w:pPr>
            <w:r>
              <w:rPr>
                <w:rFonts w:ascii="Times New Roman" w:hAnsi="Times New Roman" w:eastAsia="Times New Roman"/>
                <w:b w:val="0"/>
                <w:i w:val="0"/>
                <w:sz w:val="26"/>
              </w:rPr>
              <w:t>Ngày dạy: 03/12/2026</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ÔN TẬP ĐÁNH GIÁ ĐỊNH KỲ 2 (Tiết: 17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Hệ thống hóa kiến thức về bàn phím, khám phá Internet và kỹ năng sắp xếp, phân loại thông tin chuẩn bị Đánh giá định kỳ 2.</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Ôn tập Đánh giá định kỳ 2.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- 5.4.CB1a: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Ôn tập Đánh giá định kỳ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Ôn tập Đánh giá định kỳ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Ôn tập Đánh giá định kỳ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