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17/12/2026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8. SƠ ĐỒ HÌNH CÂY. TỔ CHỨC THÔNG TIN TRONG MÁY TÍNH (TIẾT 1)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Biểu diễn cách sắp xếp, phân loại thông tin bằng sơ đồ hình cây.</w:t>
      </w:r>
    </w:p>
    <w:p>
      <w:pPr>
        <w:spacing w:line="319" w:lineRule="auto" w:after="60" w:before="0"/>
        <w:ind w:firstLine="0" w:left="850"/>
        <w:jc w:val="both"/>
      </w:pPr>
      <w:r>
        <w:rPr>
          <w:rFonts w:ascii="Times New Roman" w:hAnsi="Times New Roman" w:eastAsia="Times New Roman"/>
          <w:b w:val="0"/>
          <w:i w:val="0"/>
          <w:sz w:val="26"/>
        </w:rPr>
        <w:t>+ Nhận biết được thư mục mẹ (gốc) và các thư mục con.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8: Sơ đồ hình cây. Tổ chức thông tin trong máy tính (Tiết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8: Sơ đồ hình cây. Tổ chức thông tin trong máy tính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8: Sơ đồ hình cây. Tổ chức thông tin trong máy tính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8: Sơ đồ hình cây. Tổ chức thông tin trong máy tính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