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01/04/2027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TỔNG KẾT NĂM HỌC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Tổng kết, đánh giá quá trình rèn luyện kỹ năng số cả năm học.</w:t>
      </w:r>
    </w:p>
    <w:p>
      <w:pPr>
        <w:spacing w:line="319" w:lineRule="auto" w:after="60" w:before="0"/>
        <w:ind w:firstLine="0" w:left="850"/>
        <w:jc w:val="both"/>
      </w:pPr>
      <w:r>
        <w:rPr>
          <w:rFonts w:ascii="Times New Roman" w:hAnsi="Times New Roman" w:eastAsia="Times New Roman"/>
          <w:b w:val="0"/>
          <w:i w:val="0"/>
          <w:sz w:val="26"/>
        </w:rPr>
        <w:t>+ Trưng bày và chia sẻ các bài trình chiếu xuất sắc của học sinh.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Tổng kết năm học.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Tổng kết năm học.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