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15/08/2026</w:t>
            </w:r>
          </w:p>
          <w:p>
            <w:pPr>
              <w:spacing w:line="360" w:lineRule="auto" w:after="40"/>
              <w:jc w:val="left"/>
            </w:pPr>
            <w:r>
              <w:rPr>
                <w:rFonts w:ascii="Times New Roman" w:hAnsi="Times New Roman" w:eastAsia="Times New Roman"/>
                <w:b w:val="0"/>
                <w:i w:val="0"/>
                <w:sz w:val="26"/>
              </w:rPr>
              <w:t>Ngày dạy: 19/08/2026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 PHẦN CỨNG VÀ PHẦN MỀM MÁY TÍNH (TIẾT 2) (Tiết: 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Phân biệt phần cứng và phần mềm qua các ví dụ thực tế.</w:t>
      </w:r>
    </w:p>
    <w:p>
      <w:pPr>
        <w:spacing w:line="319" w:lineRule="auto" w:after="60" w:before="0"/>
        <w:ind w:firstLine="0" w:left="850"/>
        <w:jc w:val="both"/>
      </w:pPr>
      <w:r>
        <w:rPr>
          <w:rFonts w:ascii="Times New Roman" w:hAnsi="Times New Roman" w:eastAsia="Times New Roman"/>
          <w:b w:val="0"/>
          <w:i w:val="0"/>
          <w:sz w:val="26"/>
        </w:rPr>
        <w:t>+ Rèn kỹ năng bảo quản phần cứng và sử dụng phần mềm đúng cách.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Bài 1: Phần cứng và phần mềm máy tính (Tiết 2).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- 5.1.CB2a: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- 4.1.CB2a: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 Phần cứng và phần mềm máy tính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 Phần cứng và phần mềm máy tính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 Phần cứng và phần mềm máy tính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