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22/08/2026</w:t>
            </w:r>
          </w:p>
          <w:p>
            <w:pPr>
              <w:spacing w:line="360" w:lineRule="auto" w:after="40"/>
              <w:jc w:val="left"/>
            </w:pPr>
            <w:r>
              <w:rPr>
                <w:rFonts w:ascii="Times New Roman" w:hAnsi="Times New Roman" w:eastAsia="Times New Roman"/>
                <w:b w:val="0"/>
                <w:i w:val="0"/>
                <w:sz w:val="26"/>
              </w:rPr>
              <w:t>Ngày dạy: 26/08/2026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2. GÕ BÀN PHÍM ĐÚNG CÁCH (TIẾT 1) (Tiết: 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Giải thích được lợi ích của việc gõ bàn phím đúng cách (10 ngón).</w:t>
      </w:r>
    </w:p>
    <w:p>
      <w:pPr>
        <w:spacing w:line="319" w:lineRule="auto" w:after="60" w:before="0"/>
        <w:ind w:firstLine="0" w:left="850"/>
        <w:jc w:val="both"/>
      </w:pPr>
      <w:r>
        <w:rPr>
          <w:rFonts w:ascii="Times New Roman" w:hAnsi="Times New Roman" w:eastAsia="Times New Roman"/>
          <w:b w:val="0"/>
          <w:i w:val="0"/>
          <w:sz w:val="26"/>
        </w:rPr>
        <w:t>+ Nắm vững quy tắc phân công ngón tay phụ trách các hàng phím.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2: Gõ bàn phím đúng cách (Tiết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- 4.3.CB2a: Phân biệt được các cách thức đơn giản để tránh rủi ro và đe dọa đến sức khỏe thể chất và tinh thần khi sử dụng công nghệ số. (Thao tác gõ bàn phím đúng cách, rèn luyện thói quen tư thế và vị trí ngón tay). (Đạt được thông qua Hoạt động 2)</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(Sử dụng bàn phím để nhập dữ liệu chữ và số chính xác vào phần mềm).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 Gõ bàn phím đúng cách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2: Gõ bàn phím đúng cách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2: Gõ bàn phím đúng cách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