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23/01/2027</w:t>
            </w:r>
          </w:p>
          <w:p>
            <w:pPr>
              <w:spacing w:line="360" w:lineRule="auto" w:after="40"/>
              <w:jc w:val="left"/>
            </w:pPr>
            <w:r>
              <w:rPr>
                <w:rFonts w:ascii="Times New Roman" w:hAnsi="Times New Roman" w:eastAsia="Times New Roman"/>
                <w:b w:val="0"/>
                <w:i w:val="0"/>
                <w:sz w:val="26"/>
              </w:rPr>
              <w:t>Ngày dạy: 27/01/2027</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11. CHỈNH SỬA VĂN BẢN (TIẾT 2) (Tiết: 25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hành chỉnh sửa lỗi chính tả, sắp xếp lại trật tự đoạn văn bản và định dạng phông chữ, cỡ chữ hoàn thiện văn bản.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11: Chỉnh sửa văn bản (Tiết 2).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- 3.1.CB2a: Xác định được các cách tạo và chỉnh sửa nội dung đơn giản ở các định dạng đơn giản. (Soạn thảo, định dạng văn bản và trình bày nội dung số rõ ràng, thẩm mỹ). (Đạt được thông qua Hoạt động 2, Hoạt động 3)</w:t>
      </w:r>
    </w:p>
    <w:p>
      <w:pPr>
        <w:spacing w:after="0" w:line="276" w:lineRule="auto"/>
        <w:ind w:left="850" w:firstLine="0"/>
      </w:pPr>
      <w:r>
        <w:rPr>
          <w:rFonts w:ascii="Times New Roman" w:hAnsi="Times New Roman" w:cs="Times New Roman"/>
          <w:sz w:val="26"/>
        </w:rPr>
        <w:t>- 1.3.CB2a: Xác định được cách tổ chức, lưu trữ và truy xuất dữ liệu, thông tin và nội dung một cách đơn giản trong môi trường số. (Tổ chức, lưu trữ và quản lý tệp văn bản trong môi trường máy tính). (Đạt được thông qua Hoạt động 1,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11: Chỉnh sửa văn bản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11: Chỉnh sửa văn bản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11: Chỉnh sửa văn bản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