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11/08/2026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 EM CÓ THỂ LÀM GÌ VỚI MÁY TÍNH? (TIẾT 1)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Nêu được ví dụ máy tính giúp học tập, giải trí, tìm kiếm thông tin và liên lạc.</w:t>
      </w:r>
    </w:p>
    <w:p>
      <w:pPr>
        <w:spacing w:line="319" w:lineRule="auto" w:after="60" w:before="0"/>
        <w:ind w:firstLine="0" w:left="850"/>
        <w:jc w:val="both"/>
      </w:pPr>
      <w:r>
        <w:rPr>
          <w:rFonts w:ascii="Times New Roman" w:hAnsi="Times New Roman" w:eastAsia="Times New Roman"/>
          <w:b w:val="0"/>
          <w:i w:val="0"/>
          <w:sz w:val="26"/>
        </w:rPr>
        <w:t>+ Hiểu các lĩnh vực ứng dụng của máy tính.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 Em có thể làm gì với máy tính? (Tiết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- 5.1.CB2a: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- 4.1.CB2a: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 Em có thể làm gì với máy tính?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 Em có thể làm gì với máy tính?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 Em có thể làm gì với máy tính?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