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11/08/2026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 EM CÓ THỂ LÀM GÌ VỚI MÁY TÍNH? (TIẾT 2) (Tiết: 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sử dụng máy tính tra cứu tài liệu học tập.</w:t>
      </w:r>
    </w:p>
    <w:p>
      <w:pPr>
        <w:spacing w:line="319" w:lineRule="auto" w:after="60" w:before="0"/>
        <w:ind w:firstLine="0" w:left="850"/>
        <w:jc w:val="both"/>
      </w:pPr>
      <w:r>
        <w:rPr>
          <w:rFonts w:ascii="Times New Roman" w:hAnsi="Times New Roman" w:eastAsia="Times New Roman"/>
          <w:b w:val="0"/>
          <w:i w:val="0"/>
          <w:sz w:val="26"/>
        </w:rPr>
        <w:t>+ Trình bày trước lớp về một ứng dụng công nghệ em yêu thích.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 Em có thể làm gì với máy tính? (Tiết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- 5.1.CB2a: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- 4.1.CB2a: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 Em có thể làm gì với máy tính?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 Em có thể làm gì với máy tính?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 Em có thể làm gì với máy tính?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