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20/02/2027</w:t>
            </w:r>
          </w:p>
          <w:p>
            <w:pPr>
              <w:spacing w:line="360" w:lineRule="auto" w:after="40"/>
              <w:jc w:val="left"/>
            </w:pPr>
            <w:r>
              <w:rPr>
                <w:rFonts w:ascii="Times New Roman" w:hAnsi="Times New Roman" w:eastAsia="Times New Roman"/>
                <w:b w:val="0"/>
                <w:i w:val="0"/>
                <w:sz w:val="26"/>
              </w:rPr>
              <w:t>Ngày dạy: 23/02/2027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13. CẤU TRÚC RẼ NHÁNH (TIẾT 1) (Tiết: 29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khái niệm điều kiện và cấu trúc rẽ nhánh (Nếu... thì..., Nếu... thì... không thì...).</w:t>
      </w:r>
    </w:p>
    <w:p>
      <w:pPr>
        <w:spacing w:line="319" w:lineRule="auto" w:after="60" w:before="0"/>
        <w:ind w:firstLine="0" w:left="850"/>
        <w:jc w:val="both"/>
      </w:pPr>
      <w:r>
        <w:rPr>
          <w:rFonts w:ascii="Times New Roman" w:hAnsi="Times New Roman" w:eastAsia="Times New Roman"/>
          <w:b w:val="0"/>
          <w:i w:val="0"/>
          <w:sz w:val="26"/>
        </w:rPr>
        <w:t>+ Nêu ví dụ rẽ nhánh trong thực tế.</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13: Cấu trúc rẽ nhánh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Cấu trúc rẽ nhánh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13: Cấu trúc rẽ nhánh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13: Cấu trúc rẽ nhánh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