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26/12/2026</w:t>
            </w:r>
          </w:p>
          <w:p>
            <w:pPr>
              <w:spacing w:line="276" w:lineRule="auto" w:after="40"/>
              <w:jc w:val="left"/>
            </w:pPr>
            <w:r>
              <w:rPr>
                <w:rFonts w:ascii="Times New Roman" w:hAnsi="Times New Roman" w:eastAsia="Times New Roman"/>
                <w:b w:val="0"/>
                <w:i w:val="0"/>
                <w:sz w:val="26"/>
              </w:rPr>
              <w:t>Ngày dạy: 01/01/2027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9A. TẠO ĐẦU TRANG, CHÂN TRANG CHO VĂN BẢN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thiết lập Header/Footer chuyên nghiệp có tên tài liệu, tên tác giả và số trang dạng Trang X/Y.</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9a. Tạo đầu trang, chân trang cho văn bản (Tiết 2).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- 3.1.CB4a: Chỉ ra được cách tạo và chỉnh sửa nội dung ở các định dạng khác nhau. (Soạn thảo, định dạng văn bản và trình bày nội dung số rõ ràng, thẩm mỹ). (Đạt được thông qua Hoạt động 2, Hoạt động 3)</w:t>
      </w:r>
    </w:p>
    <w:p>
      <w:pPr>
        <w:spacing w:line="276" w:lineRule="auto" w:after="0" w:before="0"/>
        <w:ind w:left="850" w:firstLine="0"/>
        <w:jc w:val="both"/>
      </w:pPr>
      <w:r>
        <w:rPr>
          <w:rFonts w:ascii="Times New Roman" w:hAnsi="Times New Roman" w:cs="Times New Roman"/>
          <w:sz w:val="26"/>
        </w:rPr>
        <w:t>- 1.3.CB4a: Sắp xếp được thông tin, dữ liệu, nội dung để dễ dàng lưu trữ và truy xuất. (Tổ chức, lưu trữ và quản lý tệp văn bản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9a. Tạo đầu trang, chân trang cho văn bản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9a. Tạo đầu trang, chân trang cho văn bản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9a. Tạo đầu trang, chân trang cho văn bản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9a. Tạo đầu trang, chân trang cho văn bản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9a. Tạo đầu trang, chân trang cho văn bản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9a. Tạo đầu trang, chân trang cho văn bản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