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31/10/2026</w:t>
            </w:r>
          </w:p>
          <w:p>
            <w:pPr>
              <w:spacing w:line="360" w:lineRule="auto" w:after="40"/>
              <w:jc w:val="left"/>
            </w:pPr>
            <w:r>
              <w:rPr>
                <w:rFonts w:ascii="Times New Roman" w:hAnsi="Times New Roman" w:eastAsia="Times New Roman"/>
                <w:b w:val="0"/>
                <w:i w:val="0"/>
                <w:sz w:val="26"/>
              </w:rPr>
              <w:t>Ngày dạy: 05/11/2026</w:t>
            </w:r>
          </w:p>
          <w:p>
            <w:pPr>
              <w:spacing w:line="360" w:lineRule="auto" w:after="40"/>
              <w:jc w:val="left"/>
            </w:pPr>
            <w:r>
              <w:rPr>
                <w:rFonts w:ascii="Times New Roman" w:hAnsi="Times New Roman" w:eastAsia="Times New Roman"/>
                <w:b w:val="0"/>
                <w:i w:val="0"/>
                <w:sz w:val="26"/>
              </w:rPr>
              <w:t>Lớp: TT3</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TRÁI – PHẢI – TRƯỚC – SAU (Tiết: 13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Định hướng không gian.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Trái – phải – trước – sau.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- 3.4.CB1a: Liệt kê được các hướng dẫn đơn giản để hệ thống máy tính giải quyết một vấn đề đơn giản hoặc thực hiện một nhiệm vụ đơn giản. (Thiết kế thuật toán từng bước và xây dựng khối lệnh điều khiển chương trình). (Đạt được thông qua Hoạt động 2, Hoạt động 3)</w:t>
      </w:r>
    </w:p>
    <w:p>
      <w:pPr>
        <w:spacing w:after="0" w:line="276" w:lineRule="auto"/>
        <w:ind w:left="850" w:firstLine="0"/>
      </w:pPr>
      <w:r>
        <w:rPr>
          <w:rFonts w:ascii="Times New Roman" w:hAnsi="Times New Roman" w:cs="Times New Roman"/>
          <w:sz w:val="26"/>
        </w:rPr>
        <w:t>- 5.1.CB1a: Xác định được các vấn đề kỹ thuật đơn giản khi vận hành thiết bị và sử dụng môi trường số. (Vận dụng tư duy logic để chạy thử, phát hiện và sửa lỗi chương trình).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Trái – phải – trước – sau.</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Trái – phải – trước – sau.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Trái – phải – trước – sau.</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