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27/02/2027</w:t>
            </w:r>
          </w:p>
          <w:p>
            <w:pPr>
              <w:spacing w:line="360" w:lineRule="auto" w:after="40"/>
              <w:jc w:val="left"/>
            </w:pPr>
            <w:r>
              <w:rPr>
                <w:rFonts w:ascii="Times New Roman" w:hAnsi="Times New Roman" w:eastAsia="Times New Roman"/>
                <w:b w:val="0"/>
                <w:i w:val="0"/>
                <w:sz w:val="26"/>
              </w:rPr>
              <w:t>Ngày dạy: 04/03/2027</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ROBOT QUANH EM (Tiết: 30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Nhận biết robot trong đời sống.</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Robot quanh em.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- 5.2.CB1a: Xác định được nhu cầu cá nhân. (Xác định giải pháp công nghệ và mô hình điều khiển phù hợp cho robot). (Đạt được thông qua Hoạt động 2)</w:t>
      </w:r>
    </w:p>
    <w:p>
      <w:pPr>
        <w:spacing w:after="0" w:line="276" w:lineRule="auto"/>
        <w:ind w:left="850" w:firstLine="0"/>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(Lập trình và vận hành robot thực hiện nhiệm vụ điều khiển theo yêu cầu).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Robot quanh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Robot quanh em.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Robot quanh em.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