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2</w:t>
        <w:br/>
      </w:r>
      <w:r>
        <w:rPr>
          <w:rFonts w:ascii="Times New Roman" w:hAnsi="Times New Roman"/>
          <w:b/>
          <w:i w:val="0"/>
          <w:sz w:val="26"/>
        </w:rPr>
        <w:t>BỘ THIẾT BỊ: OLLO KINDER</w:t>
        <w:br/>
      </w:r>
      <w:r>
        <w:rPr>
          <w:rFonts w:ascii="Times New Roman" w:hAnsi="Times New Roman"/>
          <w:b/>
          <w:i w:val="0"/>
          <w:sz w:val="28"/>
        </w:rPr>
        <w:t>BÀI: BÀI 15. PHÍA TRÊN BẦU TRỜI</w:t>
        <w:br/>
      </w:r>
      <w:r>
        <w:rPr>
          <w:rFonts w:ascii="Times New Roman" w:hAnsi="Times New Roman"/>
          <w:b w:val="0"/>
          <w:i/>
          <w:sz w:val="24"/>
        </w:rPr>
        <w:t>(Thời lượng: 1 tiết | Tiết PPCT: 18)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Phân biệt các loại máy bay; lắp mô hình máy bay.</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15. Phía trên bầu trời,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15. Phía trên bầu trời,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15. Phía trên bầu trời.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15. Phía trên bầu trời.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15. Phía trên bầu trời.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15. Phía trên bầu trời.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