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ĐÁNH GIÁ ĐỊNH KỲ 2</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Đánh giá định kỳ 2,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