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b w:val="0"/>
          <w:i w:val="0"/>
          <w:sz w:val="26"/>
        </w:rPr>
        <w:t>- Miền V. Giải quyết vấn đề (thành tố 5.3. Sử dụng sáng tạo công nghệ – Bậc 2): Kĩ năng vận hành thiết bị điều khiển thông minh, ứng dụng phần mềm nạp lập trình tự động. (Đạt được thông qua Hoạt động 2, Hoạt động 3)</w:t>
        <w:br/>
        <w:t>- Miền IV. An toàn (thành tố 4.1. Bảo vệ thiết bị – Bậc 2): Tuân thủ quy tắc an toàn thiết bị số và nguồn điện. (Đạt được thông qua Hoạt động 3)</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