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TƯ THẾ VÀ AN TOÀN KHI DÙNG MÁY</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3</w:t>
      </w:r>
    </w:p>
    <w:p>
      <w:pPr>
        <w:spacing w:line="276" w:lineRule="auto" w:after="60" w:before="0"/>
        <w:ind w:firstLine="0"/>
        <w:jc w:val="center"/>
      </w:pPr>
      <w:r>
        <w:rPr>
          <w:rFonts w:ascii="Times New Roman" w:hAnsi="Times New Roman" w:eastAsia="Times New Roman"/>
          <w:b/>
          <w:i w:val="0"/>
          <w:sz w:val="26"/>
        </w:rPr>
        <w:t>Tên tiết: Tư thế và an toàn khi dùng máy</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Tư thế, thời gian, bảo vệ thiết bị.</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Tư thế và an toàn khi dùng máy.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Tư thế và an toàn khi dùng máy.</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Tư thế và an toàn khi dùng máy.</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Tư thế và an toàn khi dùng máy.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Tư thế và an toàn khi dùng máy.</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Tư thế và an toàn khi dùng máy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Tư thế và an toàn khi dùng máy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Tư thế và an toàn khi dùng máy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Tư thế và an toàn khi dùng máy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