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31/08/2026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02/09/2026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MỞ, ĐÓNG VÀ CHUYỂN ĐỔI ỨNG DỤNG</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4</w:t>
      </w:r>
    </w:p>
    <w:p>
      <w:pPr>
        <w:spacing w:line="276" w:lineRule="auto" w:after="60" w:before="0"/>
        <w:ind w:firstLine="0"/>
        <w:jc w:val="center"/>
      </w:pPr>
      <w:r>
        <w:rPr>
          <w:rFonts w:ascii="Times New Roman" w:hAnsi="Times New Roman" w:eastAsia="Times New Roman"/>
          <w:b/>
          <w:i w:val="0"/>
          <w:sz w:val="26"/>
        </w:rPr>
        <w:t>Tên tiết: Mở, đóng và chuyển đổi ứng dụng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thao tác cơ bản trong môi trường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Mở, đóng và chuyển đổi ứng dụng.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Mở, đóng và chuyển đổi ứng dụng.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Mở, đóng và chuyển đổi ứng dụng.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Mở, đóng và chuyển đổi ứng dụng.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Mở, đóng và chuyển đổi ứng dụng.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Mở, đóng và chuyển đổi ứng dụng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Mở, đóng và chuyển đổi ứng dụng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Mở, đóng và chuyển đổi ứng dụng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Mở, đóng và chuyển đổi ứng dụng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