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02/11/2026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04/11/2026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THÔNG TIN DẠNG CHỮ, HÌNH, ÂM THANH, VIDEO</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13</w:t>
      </w:r>
    </w:p>
    <w:p>
      <w:pPr>
        <w:spacing w:line="276" w:lineRule="auto" w:after="60" w:before="0"/>
        <w:ind w:firstLine="0"/>
        <w:jc w:val="center"/>
      </w:pPr>
      <w:r>
        <w:rPr>
          <w:rFonts w:ascii="Times New Roman" w:hAnsi="Times New Roman" w:eastAsia="Times New Roman"/>
          <w:b/>
          <w:i w:val="0"/>
          <w:sz w:val="26"/>
        </w:rPr>
        <w:t>Tên tiết: Thông tin dạng chữ, hình, âm thanh, video</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và lựa chọn dạng phù hợp.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Thông tin dạng chữ, hình, âm thanh, video.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Thông tin dạng chữ, hình, âm thanh, video.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Thông tin dạng chữ, hình, âm thanh, video.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Thông tin dạng chữ, hình, âm thanh, video.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Thông tin dạng chữ, hình, âm thanh, video.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Thông tin dạng chữ, hình, âm thanh, video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Thông tin dạng chữ, hình, âm thanh, video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Thông tin dạng chữ, hình, âm thanh, video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Thông tin dạng chữ, hình, âm thanh, video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