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10/08/2026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12/08/2026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 THÔNG TIN VÀ DỮ LIỆU</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1</w:t>
      </w:r>
    </w:p>
    <w:p>
      <w:pPr>
        <w:spacing w:line="276" w:lineRule="auto" w:after="60" w:before="0"/>
        <w:ind w:firstLine="0"/>
        <w:jc w:val="center"/>
      </w:pPr>
      <w:r>
        <w:rPr>
          <w:rFonts w:ascii="Times New Roman" w:hAnsi="Times New Roman" w:eastAsia="Times New Roman"/>
          <w:b/>
          <w:i w:val="0"/>
          <w:sz w:val="26"/>
        </w:rPr>
        <w:t>Tên tiết: Bài 1. Thông tin và dữ liệu</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được sự khác nhau giữa thông tin và dữ liệu.  - Phân biệt được thông tin và vật mang thông tin.  - Nêu được ví dụ minh họa tầm quan trọng của thông tin và ví dụ giữa thông tin và dữ liệu..</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 Thông tin và dữ liệu.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 Thông tin và dữ liệu.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 Thông tin và dữ liệu.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 Thông tin và dữ liệu.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 Thông tin và dữ liệu.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 Thông tin và dữ liệu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 Thông tin và dữ liệu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 Thông tin và dữ liệu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 Thông tin và dữ liệu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