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11</w:t>
      </w:r>
    </w:p>
    <w:p>
      <w:pPr>
        <w:spacing w:line="276" w:lineRule="auto" w:after="60" w:before="0"/>
        <w:ind w:firstLine="0"/>
        <w:jc w:val="center"/>
      </w:pPr>
      <w:r>
        <w:rPr>
          <w:rFonts w:ascii="Times New Roman" w:hAnsi="Times New Roman" w:eastAsia="Times New Roman"/>
          <w:b/>
          <w:i w:val="0"/>
          <w:sz w:val="26"/>
        </w:rPr>
        <w:t>Tên tiết: Ôn tập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2..</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